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2FC3B670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11F84">
        <w:rPr>
          <w:rFonts w:ascii="BIZ UD明朝 Medium" w:eastAsia="BIZ UD明朝 Medium" w:hAnsi="ＭＳ 明朝" w:hint="eastAsia"/>
          <w:sz w:val="22"/>
          <w:szCs w:val="22"/>
        </w:rPr>
        <w:t>誘発電位検査</w:t>
      </w:r>
      <w:r w:rsidR="00926CD2">
        <w:rPr>
          <w:rFonts w:ascii="BIZ UD明朝 Medium" w:eastAsia="BIZ UD明朝 Medium" w:hAnsi="ＭＳ 明朝" w:hint="eastAsia"/>
          <w:sz w:val="22"/>
          <w:szCs w:val="22"/>
        </w:rPr>
        <w:t>装置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一式</w:t>
      </w:r>
    </w:p>
    <w:p w14:paraId="510DB04E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0E35BA19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43</cp:revision>
  <cp:lastPrinted>2023-06-07T05:13:00Z</cp:lastPrinted>
  <dcterms:created xsi:type="dcterms:W3CDTF">2021-01-04T07:37:00Z</dcterms:created>
  <dcterms:modified xsi:type="dcterms:W3CDTF">2025-05-23T06:00:00Z</dcterms:modified>
</cp:coreProperties>
</file>