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871C563"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680501">
        <w:rPr>
          <w:rFonts w:hint="eastAsia"/>
        </w:rPr>
        <w:t>７</w:t>
      </w:r>
      <w:r w:rsidRPr="000E085B">
        <w:rPr>
          <w:rFonts w:hint="eastAsia"/>
        </w:rPr>
        <w:t>月</w:t>
      </w:r>
      <w:r w:rsidR="00F10D59">
        <w:t>1</w:t>
      </w:r>
      <w:r w:rsidR="002D67E5">
        <w:t>8</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5C85BB30" w:rsidR="00C72ED8" w:rsidRPr="000E085B" w:rsidRDefault="00680501" w:rsidP="000E085B">
      <w:pPr>
        <w:autoSpaceDE w:val="0"/>
        <w:autoSpaceDN w:val="0"/>
        <w:ind w:leftChars="100" w:left="241" w:firstLineChars="100" w:firstLine="241"/>
      </w:pPr>
      <w:r w:rsidRPr="00680501">
        <w:rPr>
          <w:rFonts w:hint="eastAsia"/>
        </w:rPr>
        <w:t>FPD型一般撮影装置システム一式と歯科撮影装置の購入及び保守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B675D7E"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514F591C" w:rsidR="00502088"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897"/>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2024-07-05T04:05:00Z</dcterms:modified>
</cp:coreProperties>
</file>