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597210">
        <w:rPr>
          <w:rFonts w:ascii="BIZ UD明朝 Medium" w:eastAsia="BIZ UD明朝 Medium" w:hAnsi="ＭＳ 明朝" w:hint="eastAsia"/>
        </w:rPr>
        <w:t>超低温冷凍保存庫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A00B18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210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47309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43</cp:revision>
  <cp:lastPrinted>2021-08-26T05:58:00Z</cp:lastPrinted>
  <dcterms:created xsi:type="dcterms:W3CDTF">2021-05-12T08:54:00Z</dcterms:created>
  <dcterms:modified xsi:type="dcterms:W3CDTF">2024-07-08T06:27:00Z</dcterms:modified>
</cp:coreProperties>
</file>