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DC288A">
        <w:rPr>
          <w:rFonts w:ascii="BIZ UD明朝 Medium" w:eastAsia="BIZ UD明朝 Medium" w:hAnsi="ＭＳ 明朝" w:hint="eastAsia"/>
          <w:spacing w:val="16"/>
          <w:sz w:val="22"/>
          <w:szCs w:val="22"/>
        </w:rPr>
        <w:t>血液ガス分析装置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DC288A">
        <w:rPr>
          <w:rFonts w:ascii="BIZ UD明朝 Medium" w:eastAsia="BIZ UD明朝 Medium" w:hAnsi="ＭＳ 明朝" w:hint="eastAsia"/>
          <w:sz w:val="22"/>
          <w:szCs w:val="22"/>
        </w:rPr>
        <w:t>１</w:t>
      </w:r>
      <w:bookmarkStart w:id="0" w:name="_GoBack"/>
      <w:bookmarkEnd w:id="0"/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655EE2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655EE2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655EE2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367CC3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67CC3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55EE2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288A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5D555ADC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487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47</cp:revision>
  <cp:lastPrinted>2020-01-22T07:01:00Z</cp:lastPrinted>
  <dcterms:created xsi:type="dcterms:W3CDTF">2020-01-22T03:01:00Z</dcterms:created>
  <dcterms:modified xsi:type="dcterms:W3CDTF">2024-07-08T04:06:00Z</dcterms:modified>
</cp:coreProperties>
</file>