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A54" w:rsidRDefault="00F96A54">
      <w:pPr>
        <w:adjustRightInd/>
        <w:spacing w:line="55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埼玉県立精神医療センター</w:t>
      </w:r>
      <w:r w:rsidR="0052172E" w:rsidRPr="00FA3FCD">
        <w:rPr>
          <w:rFonts w:hint="eastAsia"/>
          <w:sz w:val="28"/>
          <w:szCs w:val="28"/>
        </w:rPr>
        <w:t>医療廃棄物処理業務</w:t>
      </w:r>
    </w:p>
    <w:p w:rsidR="0052172E" w:rsidRPr="00FA3FCD" w:rsidRDefault="0052172E">
      <w:pPr>
        <w:adjustRightInd/>
        <w:spacing w:line="550" w:lineRule="exact"/>
        <w:jc w:val="center"/>
        <w:rPr>
          <w:rFonts w:cs="Times New Roman"/>
          <w:sz w:val="28"/>
          <w:szCs w:val="28"/>
        </w:rPr>
      </w:pPr>
      <w:bookmarkStart w:id="0" w:name="_GoBack"/>
      <w:bookmarkEnd w:id="0"/>
      <w:r w:rsidRPr="00FA3FCD">
        <w:rPr>
          <w:rFonts w:hint="eastAsia"/>
          <w:sz w:val="28"/>
          <w:szCs w:val="28"/>
        </w:rPr>
        <w:t>特記仕様書</w:t>
      </w:r>
    </w:p>
    <w:p w:rsidR="0052172E" w:rsidRDefault="0052172E">
      <w:pPr>
        <w:adjustRightInd/>
        <w:rPr>
          <w:rFonts w:cs="Times New Roman"/>
        </w:rPr>
      </w:pPr>
    </w:p>
    <w:p w:rsidR="00725DF2" w:rsidRDefault="00725DF2" w:rsidP="00725DF2">
      <w:pPr>
        <w:adjustRightInd/>
      </w:pPr>
      <w:r>
        <w:rPr>
          <w:rFonts w:hint="eastAsia"/>
        </w:rPr>
        <w:t xml:space="preserve">　この業務は、委託業務共通仕様書に基づくほか、この特記仕様書により実施するものとする。</w:t>
      </w:r>
    </w:p>
    <w:p w:rsidR="00725DF2" w:rsidRDefault="00725DF2" w:rsidP="00725DF2">
      <w:pPr>
        <w:adjustRightInd/>
      </w:pPr>
      <w:r>
        <w:rPr>
          <w:rFonts w:hint="eastAsia"/>
        </w:rPr>
        <w:t xml:space="preserve">　なお、この仕様書は業務の大要を示すものであり、記載のない細部の事項及び解釈に疑義が生じた事項については、</w:t>
      </w:r>
      <w:r w:rsidR="00D40FB2">
        <w:rPr>
          <w:rFonts w:hint="eastAsia"/>
        </w:rPr>
        <w:t>委託者</w:t>
      </w:r>
      <w:r>
        <w:rPr>
          <w:rFonts w:hint="eastAsia"/>
        </w:rPr>
        <w:t>と</w:t>
      </w:r>
      <w:r w:rsidR="00D40FB2">
        <w:rPr>
          <w:rFonts w:hint="eastAsia"/>
        </w:rPr>
        <w:t>受託者</w:t>
      </w:r>
      <w:r>
        <w:rPr>
          <w:rFonts w:hint="eastAsia"/>
        </w:rPr>
        <w:t>の協議により定めるものとする。</w:t>
      </w:r>
    </w:p>
    <w:p w:rsidR="007317CD" w:rsidRDefault="007317CD" w:rsidP="007317CD">
      <w:pPr>
        <w:adjustRightInd/>
        <w:rPr>
          <w:rFonts w:cs="Times New Roman"/>
        </w:rPr>
      </w:pPr>
    </w:p>
    <w:p w:rsidR="007317CD" w:rsidRDefault="007317CD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１　業務の対象とする</w:t>
      </w:r>
      <w:r w:rsidRPr="007317CD">
        <w:rPr>
          <w:rFonts w:cs="Times New Roman" w:hint="eastAsia"/>
        </w:rPr>
        <w:t>医療廃棄物</w:t>
      </w:r>
      <w:r>
        <w:rPr>
          <w:rFonts w:cs="Times New Roman" w:hint="eastAsia"/>
        </w:rPr>
        <w:t>の例は</w:t>
      </w:r>
      <w:r w:rsidRPr="007317CD">
        <w:rPr>
          <w:rFonts w:cs="Times New Roman" w:hint="eastAsia"/>
        </w:rPr>
        <w:t>次のとおりとする。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7317CD" w:rsidTr="00043D5F">
        <w:tc>
          <w:tcPr>
            <w:tcW w:w="8639" w:type="dxa"/>
          </w:tcPr>
          <w:p w:rsidR="007317CD" w:rsidRDefault="007317CD" w:rsidP="00043D5F">
            <w:pPr>
              <w:adjustRightInd/>
              <w:jc w:val="lef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　</w:t>
            </w:r>
            <w:r w:rsidRPr="007317CD">
              <w:rPr>
                <w:rFonts w:cs="Times New Roman" w:hint="eastAsia"/>
              </w:rPr>
              <w:t>血液、注射針、点滴針、ディスポメス、ガラスくず、繊維くず、廃プラスチック類、カテーテル、感染性汚物、廃薬品、紙おむつ、ナプキン</w:t>
            </w:r>
          </w:p>
        </w:tc>
      </w:tr>
    </w:tbl>
    <w:p w:rsidR="007317CD" w:rsidRPr="007317CD" w:rsidRDefault="007317CD" w:rsidP="007317CD">
      <w:pPr>
        <w:adjustRightInd/>
        <w:ind w:left="227" w:hangingChars="100" w:hanging="227"/>
        <w:jc w:val="left"/>
        <w:rPr>
          <w:rFonts w:cs="Times New Roman"/>
        </w:rPr>
      </w:pPr>
    </w:p>
    <w:p w:rsidR="0052172E" w:rsidRDefault="007317CD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２</w:t>
      </w:r>
      <w:r w:rsidR="00E65FA2">
        <w:rPr>
          <w:rFonts w:cs="Times New Roman" w:hint="eastAsia"/>
        </w:rPr>
        <w:t xml:space="preserve">　廃棄物の保管</w:t>
      </w:r>
    </w:p>
    <w:p w:rsidR="00885C58" w:rsidRDefault="003C2E1E" w:rsidP="007317CD">
      <w:pPr>
        <w:adjustRightInd/>
        <w:ind w:left="227" w:right="-2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委託者は、受託者に処理を</w:t>
      </w:r>
      <w:r w:rsidR="005020D4">
        <w:rPr>
          <w:rFonts w:cs="Times New Roman" w:hint="eastAsia"/>
        </w:rPr>
        <w:t>委託</w:t>
      </w:r>
      <w:r>
        <w:rPr>
          <w:rFonts w:cs="Times New Roman" w:hint="eastAsia"/>
        </w:rPr>
        <w:t>する廃棄物をダンボール箱</w:t>
      </w:r>
      <w:r w:rsidR="00885C58">
        <w:rPr>
          <w:rFonts w:cs="Times New Roman" w:hint="eastAsia"/>
        </w:rPr>
        <w:t>（４０リットル）</w:t>
      </w:r>
      <w:r>
        <w:rPr>
          <w:rFonts w:cs="Times New Roman" w:hint="eastAsia"/>
        </w:rPr>
        <w:t>又はプラスチック容器</w:t>
      </w:r>
      <w:r w:rsidR="00885C58">
        <w:rPr>
          <w:rFonts w:cs="Times New Roman" w:hint="eastAsia"/>
        </w:rPr>
        <w:t>（２～</w:t>
      </w:r>
      <w:r w:rsidR="00AD1B77">
        <w:rPr>
          <w:rFonts w:cs="Times New Roman" w:hint="eastAsia"/>
        </w:rPr>
        <w:t>５</w:t>
      </w:r>
      <w:r w:rsidR="00885C58">
        <w:rPr>
          <w:rFonts w:cs="Times New Roman" w:hint="eastAsia"/>
        </w:rPr>
        <w:t>０リットル）</w:t>
      </w:r>
      <w:r w:rsidR="005020D4">
        <w:rPr>
          <w:rFonts w:cs="Times New Roman" w:hint="eastAsia"/>
        </w:rPr>
        <w:t>（以下「容器等」という。）</w:t>
      </w:r>
      <w:r>
        <w:rPr>
          <w:rFonts w:cs="Times New Roman" w:hint="eastAsia"/>
        </w:rPr>
        <w:t>に</w:t>
      </w:r>
      <w:r w:rsidR="005020D4">
        <w:rPr>
          <w:rFonts w:cs="Times New Roman" w:hint="eastAsia"/>
        </w:rPr>
        <w:t>収納し、法令に定められた方法に</w:t>
      </w:r>
      <w:r>
        <w:rPr>
          <w:rFonts w:cs="Times New Roman" w:hint="eastAsia"/>
        </w:rPr>
        <w:t>より</w:t>
      </w:r>
      <w:r w:rsidR="005020D4">
        <w:rPr>
          <w:rFonts w:cs="Times New Roman" w:hint="eastAsia"/>
        </w:rPr>
        <w:t>、受託者が収集するまで</w:t>
      </w:r>
      <w:r>
        <w:rPr>
          <w:rFonts w:cs="Times New Roman" w:hint="eastAsia"/>
        </w:rPr>
        <w:t>保管するものと</w:t>
      </w:r>
      <w:r w:rsidR="00885C58">
        <w:rPr>
          <w:rFonts w:cs="Times New Roman" w:hint="eastAsia"/>
        </w:rPr>
        <w:t>する。</w:t>
      </w:r>
    </w:p>
    <w:p w:rsidR="00885C58" w:rsidRPr="005020D4" w:rsidRDefault="00885C58" w:rsidP="007317CD">
      <w:pPr>
        <w:adjustRightInd/>
        <w:ind w:left="227" w:hangingChars="100" w:hanging="227"/>
        <w:jc w:val="left"/>
        <w:rPr>
          <w:rFonts w:cs="Times New Roman"/>
        </w:rPr>
      </w:pPr>
    </w:p>
    <w:p w:rsidR="00E65FA2" w:rsidRDefault="007317CD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３</w:t>
      </w:r>
      <w:r w:rsidR="00885C58">
        <w:rPr>
          <w:rFonts w:cs="Times New Roman" w:hint="eastAsia"/>
        </w:rPr>
        <w:t xml:space="preserve">　</w:t>
      </w:r>
      <w:r w:rsidR="00E65FA2" w:rsidRPr="00E65FA2">
        <w:rPr>
          <w:rFonts w:cs="Times New Roman" w:hint="eastAsia"/>
        </w:rPr>
        <w:t>廃棄物の収集</w:t>
      </w:r>
    </w:p>
    <w:p w:rsidR="00AD1B77" w:rsidRPr="00E65FA2" w:rsidRDefault="00AD1B77" w:rsidP="007317CD">
      <w:pPr>
        <w:adjustRightInd/>
        <w:ind w:left="453" w:hangingChars="200" w:hanging="453"/>
        <w:jc w:val="left"/>
        <w:rPr>
          <w:rFonts w:cs="Times New Roman"/>
        </w:rPr>
      </w:pPr>
      <w:r>
        <w:rPr>
          <w:rFonts w:cs="Times New Roman" w:hint="eastAsia"/>
        </w:rPr>
        <w:t>（１）受託者が行う廃棄物の収集は、原則として週１回以上とし、収集日は、委託者と受託者の協議により決定するものとする。</w:t>
      </w:r>
    </w:p>
    <w:p w:rsidR="00885C58" w:rsidRDefault="00AD1B77" w:rsidP="007317CD">
      <w:pPr>
        <w:adjustRightInd/>
        <w:ind w:left="453" w:hangingChars="200" w:hanging="453"/>
        <w:jc w:val="left"/>
        <w:rPr>
          <w:rFonts w:cs="Times New Roman"/>
        </w:rPr>
      </w:pPr>
      <w:r>
        <w:rPr>
          <w:rFonts w:cs="Times New Roman" w:hint="eastAsia"/>
        </w:rPr>
        <w:t>（２）</w:t>
      </w:r>
      <w:r w:rsidR="00E65FA2" w:rsidRPr="00E65FA2">
        <w:rPr>
          <w:rFonts w:cs="Times New Roman" w:hint="eastAsia"/>
        </w:rPr>
        <w:t>受託者は、</w:t>
      </w:r>
      <w:r w:rsidR="00885C58">
        <w:rPr>
          <w:rFonts w:cs="Times New Roman" w:hint="eastAsia"/>
        </w:rPr>
        <w:t>委託者の立会いの下、</w:t>
      </w:r>
      <w:r w:rsidR="00EC2791">
        <w:rPr>
          <w:rFonts w:cs="Times New Roman" w:hint="eastAsia"/>
        </w:rPr>
        <w:t>法令に基づい</w:t>
      </w:r>
      <w:r w:rsidR="009646C4">
        <w:rPr>
          <w:rFonts w:cs="Times New Roman" w:hint="eastAsia"/>
        </w:rPr>
        <w:t>た検査に合格</w:t>
      </w:r>
      <w:r w:rsidR="005020D4">
        <w:rPr>
          <w:rFonts w:cs="Times New Roman" w:hint="eastAsia"/>
        </w:rPr>
        <w:t>した</w:t>
      </w:r>
      <w:r w:rsidR="00E65FA2" w:rsidRPr="00E65FA2">
        <w:rPr>
          <w:rFonts w:cs="Times New Roman" w:hint="eastAsia"/>
        </w:rPr>
        <w:t>台秤により</w:t>
      </w:r>
      <w:r w:rsidR="005020D4">
        <w:rPr>
          <w:rFonts w:cs="Times New Roman" w:hint="eastAsia"/>
        </w:rPr>
        <w:t>、</w:t>
      </w:r>
      <w:r w:rsidR="00885C58">
        <w:rPr>
          <w:rFonts w:cs="Times New Roman" w:hint="eastAsia"/>
        </w:rPr>
        <w:t>廃棄物を</w:t>
      </w:r>
      <w:r w:rsidR="005020D4">
        <w:rPr>
          <w:rFonts w:cs="Times New Roman" w:hint="eastAsia"/>
        </w:rPr>
        <w:t>容器等に収納した状態で</w:t>
      </w:r>
      <w:r w:rsidR="00885C58">
        <w:rPr>
          <w:rFonts w:cs="Times New Roman" w:hint="eastAsia"/>
        </w:rPr>
        <w:t>計量し、</w:t>
      </w:r>
      <w:r w:rsidR="005020D4">
        <w:rPr>
          <w:rFonts w:cs="Times New Roman" w:hint="eastAsia"/>
        </w:rPr>
        <w:t>その状態のまま</w:t>
      </w:r>
      <w:r w:rsidR="00885C58">
        <w:rPr>
          <w:rFonts w:cs="Times New Roman" w:hint="eastAsia"/>
        </w:rPr>
        <w:t>運搬用の車両に搭載するものとする。</w:t>
      </w:r>
    </w:p>
    <w:p w:rsidR="00885C58" w:rsidRDefault="00885C58" w:rsidP="007317CD">
      <w:pPr>
        <w:adjustRightInd/>
        <w:ind w:left="227" w:hangingChars="100" w:hanging="227"/>
        <w:jc w:val="left"/>
        <w:rPr>
          <w:rFonts w:cs="Times New Roman"/>
        </w:rPr>
      </w:pPr>
    </w:p>
    <w:p w:rsidR="00885C58" w:rsidRDefault="007317CD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４</w:t>
      </w:r>
      <w:r w:rsidR="00885C58">
        <w:rPr>
          <w:rFonts w:cs="Times New Roman" w:hint="eastAsia"/>
        </w:rPr>
        <w:t xml:space="preserve">　経費の負担</w:t>
      </w:r>
    </w:p>
    <w:p w:rsidR="00EC2791" w:rsidRDefault="00885C58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廃棄物を保管及び運搬するための</w:t>
      </w:r>
      <w:r w:rsidR="00EC2791">
        <w:rPr>
          <w:rFonts w:cs="Times New Roman" w:hint="eastAsia"/>
        </w:rPr>
        <w:t>容器</w:t>
      </w:r>
      <w:r w:rsidR="005020D4">
        <w:rPr>
          <w:rFonts w:cs="Times New Roman" w:hint="eastAsia"/>
        </w:rPr>
        <w:t>等</w:t>
      </w:r>
      <w:r w:rsidR="00EC2791">
        <w:rPr>
          <w:rFonts w:cs="Times New Roman" w:hint="eastAsia"/>
        </w:rPr>
        <w:t>に係る費用は、委託者の負担とする。</w:t>
      </w:r>
    </w:p>
    <w:p w:rsidR="00EC2791" w:rsidRDefault="00EC2791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また、廃棄物の</w:t>
      </w:r>
      <w:r w:rsidR="005020D4">
        <w:rPr>
          <w:rFonts w:cs="Times New Roman" w:hint="eastAsia"/>
        </w:rPr>
        <w:t>計量</w:t>
      </w:r>
      <w:r>
        <w:rPr>
          <w:rFonts w:cs="Times New Roman" w:hint="eastAsia"/>
        </w:rPr>
        <w:t>に用いる台秤及び</w:t>
      </w:r>
      <w:r w:rsidR="00AD1B77" w:rsidRPr="00AD1B77">
        <w:rPr>
          <w:rFonts w:cs="Times New Roman" w:hint="eastAsia"/>
        </w:rPr>
        <w:t>産業廃棄物管理票</w:t>
      </w:r>
      <w:r w:rsidR="00AD1B77">
        <w:rPr>
          <w:rFonts w:cs="Times New Roman" w:hint="eastAsia"/>
        </w:rPr>
        <w:t>（</w:t>
      </w:r>
      <w:r>
        <w:rPr>
          <w:rFonts w:cs="Times New Roman" w:hint="eastAsia"/>
        </w:rPr>
        <w:t>マニフェスト</w:t>
      </w:r>
      <w:r w:rsidR="00AD1B77">
        <w:rPr>
          <w:rFonts w:cs="Times New Roman" w:hint="eastAsia"/>
        </w:rPr>
        <w:t>）</w:t>
      </w:r>
      <w:r>
        <w:rPr>
          <w:rFonts w:cs="Times New Roman" w:hint="eastAsia"/>
        </w:rPr>
        <w:t>用紙に係る経費は、受託者の負担とする。</w:t>
      </w:r>
    </w:p>
    <w:p w:rsidR="00EC2791" w:rsidRPr="005020D4" w:rsidRDefault="00EC2791" w:rsidP="007317CD">
      <w:pPr>
        <w:adjustRightInd/>
        <w:ind w:left="227" w:hangingChars="100" w:hanging="227"/>
        <w:jc w:val="left"/>
        <w:rPr>
          <w:rFonts w:cs="Times New Roman"/>
        </w:rPr>
      </w:pPr>
    </w:p>
    <w:p w:rsidR="00EC2791" w:rsidRDefault="007317CD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>５</w:t>
      </w:r>
      <w:r w:rsidR="00EC2791">
        <w:rPr>
          <w:rFonts w:cs="Times New Roman" w:hint="eastAsia"/>
        </w:rPr>
        <w:t xml:space="preserve">　臨機の措置</w:t>
      </w:r>
    </w:p>
    <w:p w:rsidR="00EC2791" w:rsidRDefault="00EC2791" w:rsidP="007317CD">
      <w:pPr>
        <w:adjustRightInd/>
        <w:ind w:left="227" w:hangingChars="100" w:hanging="227"/>
        <w:jc w:val="left"/>
        <w:rPr>
          <w:rFonts w:cs="Times New Roman"/>
        </w:rPr>
      </w:pPr>
      <w:r>
        <w:rPr>
          <w:rFonts w:cs="Times New Roman" w:hint="eastAsia"/>
        </w:rPr>
        <w:t xml:space="preserve">　　</w:t>
      </w:r>
      <w:r w:rsidRPr="00EC2791">
        <w:rPr>
          <w:rFonts w:cs="Times New Roman" w:hint="eastAsia"/>
        </w:rPr>
        <w:t>委託者は、業務を実施する上で必要と認められる場合、受託者と協議の上</w:t>
      </w:r>
      <w:r>
        <w:rPr>
          <w:rFonts w:cs="Times New Roman" w:hint="eastAsia"/>
        </w:rPr>
        <w:t>、収集日の</w:t>
      </w:r>
      <w:r w:rsidRPr="00EC2791">
        <w:rPr>
          <w:rFonts w:cs="Times New Roman" w:hint="eastAsia"/>
        </w:rPr>
        <w:t>変更及び追加等</w:t>
      </w:r>
      <w:r>
        <w:rPr>
          <w:rFonts w:cs="Times New Roman" w:hint="eastAsia"/>
        </w:rPr>
        <w:t>の</w:t>
      </w:r>
      <w:r w:rsidRPr="00EC2791">
        <w:rPr>
          <w:rFonts w:cs="Times New Roman" w:hint="eastAsia"/>
        </w:rPr>
        <w:t>措置を求めることができる。</w:t>
      </w:r>
    </w:p>
    <w:p w:rsidR="00AD1B77" w:rsidRDefault="00AD1B77" w:rsidP="007317CD">
      <w:pPr>
        <w:adjustRightInd/>
        <w:ind w:left="227" w:hangingChars="100" w:hanging="227"/>
        <w:jc w:val="left"/>
        <w:rPr>
          <w:rFonts w:cs="Times New Roman"/>
        </w:rPr>
      </w:pPr>
    </w:p>
    <w:p w:rsidR="00AD1B77" w:rsidRPr="00B375C3" w:rsidRDefault="007317CD" w:rsidP="007317CD">
      <w:pPr>
        <w:adjustRightInd/>
        <w:ind w:left="227" w:hangingChars="100" w:hanging="227"/>
        <w:jc w:val="left"/>
        <w:rPr>
          <w:rFonts w:cs="Times New Roman"/>
          <w:color w:val="FF0000"/>
          <w:spacing w:val="6"/>
        </w:rPr>
      </w:pPr>
      <w:r>
        <w:rPr>
          <w:rFonts w:cs="Times New Roman" w:hint="eastAsia"/>
        </w:rPr>
        <w:t>６</w:t>
      </w:r>
      <w:r w:rsidR="00AD1B77">
        <w:rPr>
          <w:rFonts w:cs="Times New Roman" w:hint="eastAsia"/>
        </w:rPr>
        <w:t xml:space="preserve">　</w:t>
      </w:r>
      <w:r w:rsidR="00AD1B77" w:rsidRPr="00B375C3">
        <w:rPr>
          <w:rFonts w:cs="Times New Roman" w:hint="eastAsia"/>
          <w:color w:val="auto"/>
          <w:spacing w:val="6"/>
        </w:rPr>
        <w:t>提出書類</w:t>
      </w:r>
    </w:p>
    <w:p w:rsidR="007317CD" w:rsidRDefault="00AD1B77" w:rsidP="007317CD">
      <w:pPr>
        <w:adjustRightInd/>
        <w:ind w:left="227" w:hangingChars="100" w:hanging="227"/>
        <w:jc w:val="left"/>
        <w:rPr>
          <w:color w:val="auto"/>
        </w:rPr>
      </w:pPr>
      <w:r w:rsidRPr="00B375C3">
        <w:rPr>
          <w:color w:val="FF0000"/>
        </w:rPr>
        <w:t xml:space="preserve">    </w:t>
      </w:r>
      <w:r>
        <w:rPr>
          <w:rFonts w:hint="eastAsia"/>
          <w:color w:val="auto"/>
        </w:rPr>
        <w:t>受託</w:t>
      </w:r>
      <w:r w:rsidRPr="00B375C3">
        <w:rPr>
          <w:rFonts w:hint="eastAsia"/>
          <w:color w:val="auto"/>
        </w:rPr>
        <w:t>者は、</w:t>
      </w:r>
      <w:r>
        <w:rPr>
          <w:rFonts w:hint="eastAsia"/>
          <w:color w:val="auto"/>
        </w:rPr>
        <w:t>契約書</w:t>
      </w:r>
      <w:r w:rsidR="00D40FB2">
        <w:rPr>
          <w:rFonts w:hint="eastAsia"/>
          <w:color w:val="auto"/>
        </w:rPr>
        <w:t>別添条項</w:t>
      </w:r>
      <w:r w:rsidRPr="00B375C3">
        <w:rPr>
          <w:rFonts w:hint="eastAsia"/>
          <w:color w:val="auto"/>
        </w:rPr>
        <w:t>及び共通仕様書に定めのあるものを含む別表に掲げる書類を</w:t>
      </w:r>
      <w:r w:rsidR="002A46DC">
        <w:rPr>
          <w:rFonts w:hint="eastAsia"/>
          <w:color w:val="auto"/>
        </w:rPr>
        <w:t>委託者</w:t>
      </w:r>
      <w:r w:rsidRPr="00B375C3">
        <w:rPr>
          <w:rFonts w:hint="eastAsia"/>
          <w:color w:val="auto"/>
        </w:rPr>
        <w:t>が指定する期日までに提出するものとする。</w:t>
      </w:r>
    </w:p>
    <w:p w:rsidR="00AD1B77" w:rsidRPr="00F96A54" w:rsidRDefault="00AD1B77" w:rsidP="00F96A54">
      <w:pPr>
        <w:adjustRightInd/>
        <w:ind w:left="227" w:hangingChars="100" w:hanging="227"/>
        <w:jc w:val="left"/>
        <w:rPr>
          <w:color w:val="FF0000"/>
        </w:rPr>
      </w:pPr>
      <w:r>
        <w:rPr>
          <w:color w:val="FF0000"/>
        </w:rPr>
        <w:br w:type="page"/>
      </w:r>
      <w:r w:rsidRPr="00221BCA">
        <w:rPr>
          <w:rFonts w:hint="eastAsia"/>
          <w:color w:val="auto"/>
        </w:rPr>
        <w:lastRenderedPageBreak/>
        <w:t>（別表）</w:t>
      </w:r>
    </w:p>
    <w:p w:rsidR="00AD1B77" w:rsidRDefault="00AD1B77" w:rsidP="00AD1B77">
      <w:pPr>
        <w:adjustRightInd/>
        <w:ind w:left="227" w:hangingChars="100" w:hanging="227"/>
        <w:jc w:val="center"/>
        <w:rPr>
          <w:color w:val="auto"/>
        </w:rPr>
      </w:pPr>
      <w:r w:rsidRPr="00221BCA">
        <w:rPr>
          <w:rFonts w:hint="eastAsia"/>
          <w:color w:val="auto"/>
        </w:rPr>
        <w:t>提出書類一覧</w:t>
      </w:r>
    </w:p>
    <w:p w:rsidR="00AD1B77" w:rsidRPr="00221BCA" w:rsidRDefault="00AD1B77" w:rsidP="00AD1B77">
      <w:pPr>
        <w:adjustRightInd/>
        <w:ind w:left="227" w:hangingChars="100" w:hanging="227"/>
        <w:jc w:val="center"/>
        <w:rPr>
          <w:color w:val="auto"/>
        </w:rPr>
      </w:pPr>
    </w:p>
    <w:tbl>
      <w:tblPr>
        <w:tblStyle w:val="a7"/>
        <w:tblW w:w="8926" w:type="dxa"/>
        <w:tblLook w:val="04A0" w:firstRow="1" w:lastRow="0" w:firstColumn="1" w:lastColumn="0" w:noHBand="0" w:noVBand="1"/>
      </w:tblPr>
      <w:tblGrid>
        <w:gridCol w:w="469"/>
        <w:gridCol w:w="2928"/>
        <w:gridCol w:w="2977"/>
        <w:gridCol w:w="2552"/>
      </w:tblGrid>
      <w:tr w:rsidR="00AD1B77" w:rsidRPr="00221BCA" w:rsidTr="00941BA3">
        <w:trPr>
          <w:trHeight w:val="70"/>
        </w:trPr>
        <w:tc>
          <w:tcPr>
            <w:tcW w:w="469" w:type="dxa"/>
            <w:noWrap/>
            <w:hideMark/>
          </w:tcPr>
          <w:p w:rsidR="00AD1B77" w:rsidRPr="00221BCA" w:rsidRDefault="00AD1B77" w:rsidP="002F4521">
            <w:pPr>
              <w:adjustRightInd/>
              <w:jc w:val="center"/>
              <w:rPr>
                <w:color w:val="auto"/>
              </w:rPr>
            </w:pPr>
          </w:p>
        </w:tc>
        <w:tc>
          <w:tcPr>
            <w:tcW w:w="2928" w:type="dxa"/>
            <w:noWrap/>
            <w:hideMark/>
          </w:tcPr>
          <w:p w:rsidR="00AD1B77" w:rsidRPr="00221BCA" w:rsidRDefault="00AD1B77" w:rsidP="002F4521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名称</w:t>
            </w:r>
          </w:p>
        </w:tc>
        <w:tc>
          <w:tcPr>
            <w:tcW w:w="2977" w:type="dxa"/>
            <w:noWrap/>
            <w:hideMark/>
          </w:tcPr>
          <w:p w:rsidR="00AD1B77" w:rsidRPr="00221BCA" w:rsidRDefault="00AD1B77" w:rsidP="002F4521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根拠</w:t>
            </w:r>
          </w:p>
        </w:tc>
        <w:tc>
          <w:tcPr>
            <w:tcW w:w="2552" w:type="dxa"/>
            <w:noWrap/>
            <w:hideMark/>
          </w:tcPr>
          <w:p w:rsidR="00AD1B77" w:rsidRPr="00221BCA" w:rsidRDefault="00AD1B77" w:rsidP="002F4521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摘要</w:t>
            </w:r>
          </w:p>
        </w:tc>
      </w:tr>
      <w:tr w:rsidR="00D40FB2" w:rsidRPr="00221BCA" w:rsidTr="00725DF2">
        <w:trPr>
          <w:trHeight w:val="772"/>
        </w:trPr>
        <w:tc>
          <w:tcPr>
            <w:tcW w:w="469" w:type="dxa"/>
            <w:noWrap/>
            <w:vAlign w:val="center"/>
          </w:tcPr>
          <w:p w:rsidR="00D40FB2" w:rsidRDefault="00D40FB2" w:rsidP="00D40FB2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１</w:t>
            </w:r>
          </w:p>
        </w:tc>
        <w:tc>
          <w:tcPr>
            <w:tcW w:w="2928" w:type="dxa"/>
            <w:noWrap/>
            <w:vAlign w:val="center"/>
          </w:tcPr>
          <w:p w:rsidR="00D40FB2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産業廃棄物管理票</w:t>
            </w:r>
          </w:p>
          <w:p w:rsidR="00D40FB2" w:rsidRPr="00221BCA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（Ｂ２票、Ｄ票、Ｅ票）</w:t>
            </w:r>
          </w:p>
        </w:tc>
        <w:tc>
          <w:tcPr>
            <w:tcW w:w="2977" w:type="dxa"/>
            <w:noWrap/>
            <w:vAlign w:val="center"/>
          </w:tcPr>
          <w:p w:rsidR="00D40FB2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別添条項</w:t>
            </w:r>
            <w:r w:rsidRPr="00042DD0">
              <w:rPr>
                <w:rFonts w:hint="eastAsia"/>
                <w:color w:val="auto"/>
              </w:rPr>
              <w:t>第</w:t>
            </w:r>
            <w:r>
              <w:rPr>
                <w:rFonts w:hint="eastAsia"/>
                <w:color w:val="auto"/>
              </w:rPr>
              <w:t>２</w:t>
            </w:r>
            <w:r w:rsidRPr="00042DD0">
              <w:rPr>
                <w:rFonts w:hint="eastAsia"/>
                <w:color w:val="auto"/>
              </w:rPr>
              <w:t>条の</w:t>
            </w:r>
            <w:r>
              <w:rPr>
                <w:rFonts w:hint="eastAsia"/>
                <w:color w:val="auto"/>
              </w:rPr>
              <w:t>３</w:t>
            </w:r>
            <w:r w:rsidRPr="00042DD0">
              <w:rPr>
                <w:rFonts w:hint="eastAsia"/>
                <w:color w:val="auto"/>
              </w:rPr>
              <w:t>第２項</w:t>
            </w:r>
          </w:p>
        </w:tc>
        <w:tc>
          <w:tcPr>
            <w:tcW w:w="2552" w:type="dxa"/>
            <w:vAlign w:val="center"/>
          </w:tcPr>
          <w:p w:rsidR="00D40FB2" w:rsidRDefault="00D40FB2" w:rsidP="00D40FB2">
            <w:pPr>
              <w:adjustRightInd/>
              <w:rPr>
                <w:color w:val="auto"/>
              </w:rPr>
            </w:pPr>
          </w:p>
        </w:tc>
      </w:tr>
      <w:tr w:rsidR="00D40FB2" w:rsidRPr="00221BCA" w:rsidTr="00725DF2">
        <w:trPr>
          <w:trHeight w:val="772"/>
        </w:trPr>
        <w:tc>
          <w:tcPr>
            <w:tcW w:w="469" w:type="dxa"/>
            <w:noWrap/>
            <w:vAlign w:val="center"/>
          </w:tcPr>
          <w:p w:rsidR="00D40FB2" w:rsidRDefault="00D40FB2" w:rsidP="00D40FB2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</w:t>
            </w:r>
          </w:p>
        </w:tc>
        <w:tc>
          <w:tcPr>
            <w:tcW w:w="2928" w:type="dxa"/>
            <w:noWrap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業務</w:t>
            </w:r>
            <w:r w:rsidRPr="00221BCA">
              <w:rPr>
                <w:rFonts w:hint="eastAsia"/>
                <w:color w:val="auto"/>
              </w:rPr>
              <w:t>責任者通知書</w:t>
            </w:r>
          </w:p>
        </w:tc>
        <w:tc>
          <w:tcPr>
            <w:tcW w:w="2977" w:type="dxa"/>
            <w:noWrap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別添条項</w:t>
            </w:r>
            <w:r w:rsidRPr="00221BCA">
              <w:rPr>
                <w:rFonts w:hint="eastAsia"/>
                <w:color w:val="auto"/>
              </w:rPr>
              <w:t>第</w:t>
            </w:r>
            <w:r>
              <w:rPr>
                <w:rFonts w:hint="eastAsia"/>
                <w:color w:val="auto"/>
              </w:rPr>
              <w:t>６条</w:t>
            </w:r>
          </w:p>
        </w:tc>
        <w:tc>
          <w:tcPr>
            <w:tcW w:w="2552" w:type="dxa"/>
            <w:vAlign w:val="center"/>
          </w:tcPr>
          <w:p w:rsidR="00D40FB2" w:rsidRDefault="00D40FB2" w:rsidP="00D40FB2">
            <w:pPr>
              <w:adjustRightInd/>
              <w:rPr>
                <w:color w:val="auto"/>
              </w:rPr>
            </w:pPr>
          </w:p>
        </w:tc>
      </w:tr>
      <w:tr w:rsidR="00D40FB2" w:rsidRPr="00221BCA" w:rsidTr="00725DF2">
        <w:trPr>
          <w:trHeight w:val="772"/>
        </w:trPr>
        <w:tc>
          <w:tcPr>
            <w:tcW w:w="469" w:type="dxa"/>
            <w:noWrap/>
            <w:vAlign w:val="center"/>
          </w:tcPr>
          <w:p w:rsidR="00D40FB2" w:rsidRPr="00221BCA" w:rsidRDefault="00D40FB2" w:rsidP="00D40FB2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３</w:t>
            </w:r>
          </w:p>
        </w:tc>
        <w:tc>
          <w:tcPr>
            <w:tcW w:w="2928" w:type="dxa"/>
            <w:noWrap/>
            <w:vAlign w:val="center"/>
            <w:hideMark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完了</w:t>
            </w:r>
            <w:r>
              <w:rPr>
                <w:rFonts w:hint="eastAsia"/>
                <w:color w:val="auto"/>
              </w:rPr>
              <w:t>報告書</w:t>
            </w:r>
          </w:p>
        </w:tc>
        <w:tc>
          <w:tcPr>
            <w:tcW w:w="2977" w:type="dxa"/>
            <w:noWrap/>
            <w:vAlign w:val="center"/>
          </w:tcPr>
          <w:p w:rsidR="00D40FB2" w:rsidRPr="007317CD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別添条項</w:t>
            </w:r>
            <w:r w:rsidRPr="007317CD">
              <w:rPr>
                <w:rFonts w:hint="eastAsia"/>
                <w:color w:val="auto"/>
              </w:rPr>
              <w:t>第１</w:t>
            </w:r>
            <w:r>
              <w:rPr>
                <w:rFonts w:hint="eastAsia"/>
                <w:color w:val="auto"/>
              </w:rPr>
              <w:t>１</w:t>
            </w:r>
            <w:r w:rsidRPr="007317CD">
              <w:rPr>
                <w:rFonts w:hint="eastAsia"/>
                <w:color w:val="auto"/>
              </w:rPr>
              <w:t>条</w:t>
            </w:r>
          </w:p>
        </w:tc>
        <w:tc>
          <w:tcPr>
            <w:tcW w:w="2552" w:type="dxa"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</w:p>
        </w:tc>
      </w:tr>
      <w:tr w:rsidR="00D40FB2" w:rsidRPr="00221BCA" w:rsidTr="00725DF2">
        <w:trPr>
          <w:trHeight w:val="772"/>
        </w:trPr>
        <w:tc>
          <w:tcPr>
            <w:tcW w:w="469" w:type="dxa"/>
            <w:noWrap/>
            <w:vAlign w:val="center"/>
          </w:tcPr>
          <w:p w:rsidR="00D40FB2" w:rsidRPr="00221BCA" w:rsidRDefault="00D40FB2" w:rsidP="00D40FB2">
            <w:pPr>
              <w:adjustRightInd/>
              <w:jc w:val="center"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４</w:t>
            </w:r>
          </w:p>
        </w:tc>
        <w:tc>
          <w:tcPr>
            <w:tcW w:w="2928" w:type="dxa"/>
            <w:noWrap/>
            <w:vAlign w:val="center"/>
            <w:hideMark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請求書</w:t>
            </w:r>
          </w:p>
        </w:tc>
        <w:tc>
          <w:tcPr>
            <w:tcW w:w="2977" w:type="dxa"/>
            <w:noWrap/>
            <w:vAlign w:val="center"/>
          </w:tcPr>
          <w:p w:rsidR="00D40FB2" w:rsidRPr="007317CD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別添条項</w:t>
            </w:r>
            <w:r w:rsidRPr="007317CD">
              <w:rPr>
                <w:rFonts w:hint="eastAsia"/>
                <w:color w:val="auto"/>
              </w:rPr>
              <w:t>第１</w:t>
            </w:r>
            <w:r>
              <w:rPr>
                <w:rFonts w:hint="eastAsia"/>
                <w:color w:val="auto"/>
              </w:rPr>
              <w:t>２</w:t>
            </w:r>
            <w:r w:rsidRPr="007317CD">
              <w:rPr>
                <w:rFonts w:hint="eastAsia"/>
                <w:color w:val="auto"/>
              </w:rPr>
              <w:t>条</w:t>
            </w:r>
          </w:p>
        </w:tc>
        <w:tc>
          <w:tcPr>
            <w:tcW w:w="2552" w:type="dxa"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</w:p>
        </w:tc>
      </w:tr>
      <w:tr w:rsidR="00D40FB2" w:rsidRPr="00221BCA" w:rsidTr="00725DF2">
        <w:trPr>
          <w:trHeight w:val="772"/>
        </w:trPr>
        <w:tc>
          <w:tcPr>
            <w:tcW w:w="469" w:type="dxa"/>
            <w:noWrap/>
            <w:vAlign w:val="center"/>
          </w:tcPr>
          <w:p w:rsidR="00D40FB2" w:rsidRPr="00221BCA" w:rsidRDefault="00742719" w:rsidP="00D40FB2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５</w:t>
            </w:r>
          </w:p>
        </w:tc>
        <w:tc>
          <w:tcPr>
            <w:tcW w:w="2928" w:type="dxa"/>
            <w:noWrap/>
            <w:vAlign w:val="center"/>
            <w:hideMark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従事者名簿</w:t>
            </w:r>
          </w:p>
        </w:tc>
        <w:tc>
          <w:tcPr>
            <w:tcW w:w="2977" w:type="dxa"/>
            <w:noWrap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</w:p>
        </w:tc>
        <w:tc>
          <w:tcPr>
            <w:tcW w:w="2552" w:type="dxa"/>
            <w:noWrap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収集の従事者に限る。</w:t>
            </w:r>
          </w:p>
        </w:tc>
      </w:tr>
      <w:tr w:rsidR="00D40FB2" w:rsidRPr="00221BCA" w:rsidTr="00725DF2">
        <w:trPr>
          <w:trHeight w:val="772"/>
        </w:trPr>
        <w:tc>
          <w:tcPr>
            <w:tcW w:w="469" w:type="dxa"/>
            <w:noWrap/>
            <w:vAlign w:val="center"/>
          </w:tcPr>
          <w:p w:rsidR="00D40FB2" w:rsidRPr="00221BCA" w:rsidRDefault="00742719" w:rsidP="00D40FB2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６</w:t>
            </w:r>
          </w:p>
        </w:tc>
        <w:tc>
          <w:tcPr>
            <w:tcW w:w="2928" w:type="dxa"/>
            <w:noWrap/>
            <w:vAlign w:val="center"/>
            <w:hideMark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 w:rsidRPr="00221BCA">
              <w:rPr>
                <w:rFonts w:hint="eastAsia"/>
                <w:color w:val="auto"/>
              </w:rPr>
              <w:t>事故報告書</w:t>
            </w:r>
          </w:p>
        </w:tc>
        <w:tc>
          <w:tcPr>
            <w:tcW w:w="2977" w:type="dxa"/>
            <w:noWrap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共通仕様書９</w:t>
            </w:r>
          </w:p>
        </w:tc>
        <w:tc>
          <w:tcPr>
            <w:tcW w:w="2552" w:type="dxa"/>
            <w:vAlign w:val="center"/>
          </w:tcPr>
          <w:p w:rsidR="00D40FB2" w:rsidRPr="00221BCA" w:rsidRDefault="00D40FB2" w:rsidP="00D40FB2">
            <w:pPr>
              <w:adjustRightInd/>
              <w:rPr>
                <w:color w:val="auto"/>
              </w:rPr>
            </w:pPr>
          </w:p>
        </w:tc>
      </w:tr>
    </w:tbl>
    <w:p w:rsidR="00AD1B77" w:rsidRPr="00221BCA" w:rsidRDefault="00AD1B77" w:rsidP="00AD1B77">
      <w:pPr>
        <w:adjustRightInd/>
        <w:rPr>
          <w:rFonts w:cs="Times New Roman"/>
          <w:color w:val="auto"/>
          <w:spacing w:val="6"/>
        </w:rPr>
      </w:pPr>
    </w:p>
    <w:sectPr w:rsidR="00AD1B77" w:rsidRPr="00221BCA" w:rsidSect="00F96A54">
      <w:footerReference w:type="default" r:id="rId7"/>
      <w:type w:val="continuous"/>
      <w:pgSz w:w="11906" w:h="16838" w:code="9"/>
      <w:pgMar w:top="1418" w:right="1418" w:bottom="1134" w:left="1418" w:header="720" w:footer="227" w:gutter="0"/>
      <w:pgNumType w:fmt="numberInDash" w:start="15"/>
      <w:cols w:space="720"/>
      <w:noEndnote/>
      <w:docGrid w:type="linesAndChars" w:linePitch="366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6C8" w:rsidRDefault="00E756C8">
      <w:r>
        <w:separator/>
      </w:r>
    </w:p>
  </w:endnote>
  <w:endnote w:type="continuationSeparator" w:id="0">
    <w:p w:rsidR="00E756C8" w:rsidRDefault="00E7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55A6" w:rsidRDefault="004255A6">
    <w:pPr>
      <w:pStyle w:val="a5"/>
    </w:pPr>
  </w:p>
  <w:p w:rsidR="002A46DC" w:rsidRDefault="002A46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6C8" w:rsidRDefault="00E756C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756C8" w:rsidRDefault="00E75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56"/>
  <w:hyphenationZone w:val="0"/>
  <w:drawingGridHorizontalSpacing w:val="227"/>
  <w:drawingGridVerticalSpacing w:val="18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72E"/>
    <w:rsid w:val="00042DD0"/>
    <w:rsid w:val="00043D5F"/>
    <w:rsid w:val="00073999"/>
    <w:rsid w:val="00142267"/>
    <w:rsid w:val="002A46DC"/>
    <w:rsid w:val="00330049"/>
    <w:rsid w:val="00390E0B"/>
    <w:rsid w:val="003C2E1E"/>
    <w:rsid w:val="004255A6"/>
    <w:rsid w:val="005020D4"/>
    <w:rsid w:val="0052172E"/>
    <w:rsid w:val="00725DF2"/>
    <w:rsid w:val="007317CD"/>
    <w:rsid w:val="00742719"/>
    <w:rsid w:val="007516B5"/>
    <w:rsid w:val="00885C58"/>
    <w:rsid w:val="00941BA3"/>
    <w:rsid w:val="009646C4"/>
    <w:rsid w:val="009B4DD4"/>
    <w:rsid w:val="00AD1B77"/>
    <w:rsid w:val="00D40FB2"/>
    <w:rsid w:val="00E65FA2"/>
    <w:rsid w:val="00E756C8"/>
    <w:rsid w:val="00EC2791"/>
    <w:rsid w:val="00EE3048"/>
    <w:rsid w:val="00F4780B"/>
    <w:rsid w:val="00F96A54"/>
    <w:rsid w:val="00FA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7728257"/>
  <w14:defaultImageDpi w14:val="0"/>
  <w15:docId w15:val="{0790EA65-1A2B-439F-B1CF-9A9CCFC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FCD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2172E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21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2172E"/>
    <w:rPr>
      <w:rFonts w:cs="ＭＳ 明朝"/>
      <w:color w:val="000000"/>
      <w:kern w:val="0"/>
      <w:sz w:val="24"/>
      <w:szCs w:val="24"/>
    </w:rPr>
  </w:style>
  <w:style w:type="table" w:styleId="a7">
    <w:name w:val="Table Grid"/>
    <w:basedOn w:val="a1"/>
    <w:uiPriority w:val="59"/>
    <w:rsid w:val="00AD1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rsid w:val="007516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7516B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ECCE-3FBE-4653-B5EC-5A1C4E6D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833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感染性廃棄物処理業務特記仕様書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感染性廃棄物処理業務特記仕様書</dc:title>
  <dc:subject/>
  <dc:creator>精神保健総合センター</dc:creator>
  <cp:keywords/>
  <dc:description/>
  <cp:lastModifiedBy>高橋 昇吾</cp:lastModifiedBy>
  <cp:revision>16</cp:revision>
  <cp:lastPrinted>2023-07-06T07:46:00Z</cp:lastPrinted>
  <dcterms:created xsi:type="dcterms:W3CDTF">2019-08-16T06:00:00Z</dcterms:created>
  <dcterms:modified xsi:type="dcterms:W3CDTF">2023-07-06T08:19:00Z</dcterms:modified>
</cp:coreProperties>
</file>