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C744A0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C744A0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6E403153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FB1209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93BCF78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4692F22E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6997118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6388FDBA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197AA88E" w14:textId="732E1CF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5C10EF">
        <w:rPr>
          <w:rFonts w:asciiTheme="majorEastAsia" w:eastAsiaTheme="majorEastAsia" w:hAnsiTheme="majorEastAsia" w:hint="eastAsia"/>
          <w:szCs w:val="22"/>
        </w:rPr>
        <w:t>印</w:t>
      </w:r>
    </w:p>
    <w:p w14:paraId="11A11D37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CEA8159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B712046" w14:textId="414433E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5C10E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404E9A5B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8474D2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9041AD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D85D61D" w14:textId="17540E68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E7355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E7355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9C3276"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E7355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="009C3276"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年度下期及び令和</w:t>
      </w:r>
      <w:r w:rsidR="00E7355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="009C3276"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年度上期医薬品の購入（単価契約）</w:t>
      </w:r>
      <w:r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に関する一切の件。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32397373">
    <w:abstractNumId w:val="0"/>
  </w:num>
  <w:num w:numId="2" w16cid:durableId="263147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73552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2023-06-07T07:59:00Z</dcterms:modified>
</cp:coreProperties>
</file>