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C744A0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C744A0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6E403153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FB1209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93BCF78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4692F22E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6997118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6388FDBA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197AA88E" w14:textId="732E1CF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5C10EF">
        <w:rPr>
          <w:rFonts w:asciiTheme="majorEastAsia" w:eastAsiaTheme="majorEastAsia" w:hAnsiTheme="majorEastAsia" w:hint="eastAsia"/>
          <w:szCs w:val="22"/>
        </w:rPr>
        <w:t>印</w:t>
      </w:r>
    </w:p>
    <w:p w14:paraId="11A11D37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CEA8159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B712046" w14:textId="414433E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5C10E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404E9A5B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8474D2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9041AD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D85D61D" w14:textId="6D87CF1A" w:rsidR="00B53833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B045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CB045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３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C744A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</w:t>
      </w:r>
      <w:r w:rsidR="00AF7F7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C744A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B045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="00C744A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年度</w:t>
      </w:r>
      <w:r w:rsidR="00CB045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上期</w:t>
      </w:r>
      <w:r w:rsidR="00C744A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医薬品の購入（単価契約）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sectPr w:rsidR="00B5383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2022-02-08T01:09:00Z</dcterms:modified>
</cp:coreProperties>
</file>