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FA2CBA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Lippincott Williams &amp; Wilkins</w:t>
            </w:r>
            <w:r w:rsidR="005B22A9">
              <w:rPr>
                <w:rFonts w:asciiTheme="minorEastAsia" w:eastAsiaTheme="minorEastAsia" w:hAnsiTheme="minorEastAsia" w:hint="eastAsia"/>
                <w:noProof/>
              </w:rPr>
              <w:t xml:space="preserve">　５タイトル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7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CB" w:rsidRDefault="00FF69CB" w:rsidP="00EA5D4F">
      <w:r>
        <w:separator/>
      </w:r>
    </w:p>
  </w:endnote>
  <w:endnote w:type="continuationSeparator" w:id="0">
    <w:p w:rsidR="00FF69CB" w:rsidRDefault="00FF69CB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CB" w:rsidRDefault="00FF69CB" w:rsidP="00EA5D4F">
      <w:r>
        <w:separator/>
      </w:r>
    </w:p>
  </w:footnote>
  <w:footnote w:type="continuationSeparator" w:id="0">
    <w:p w:rsidR="00FF69CB" w:rsidRDefault="00FF69CB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22A9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9CB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2021-11-19T05:01:00Z</dcterms:modified>
</cp:coreProperties>
</file>