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EC3FC5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3C2363" w:rsidRDefault="00AF771F" w:rsidP="003C2363">
      <w:pPr>
        <w:spacing w:line="320" w:lineRule="atLeast"/>
        <w:rPr>
          <w:rFonts w:hAnsi="ＭＳ 明朝" w:hint="eastAsia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２０２２年埼玉県立がんセンター図書館電子ジャーナル</w:t>
      </w:r>
    </w:p>
    <w:p w:rsidR="003C2363" w:rsidRPr="003C2363" w:rsidRDefault="003C2363" w:rsidP="003C2363">
      <w:pPr>
        <w:spacing w:line="320" w:lineRule="atLeast"/>
        <w:ind w:firstLineChars="250" w:firstLine="525"/>
        <w:rPr>
          <w:rFonts w:hAnsi="ＭＳ 明朝"/>
          <w:spacing w:val="16"/>
          <w:szCs w:val="21"/>
        </w:rPr>
      </w:pPr>
      <w:r w:rsidRPr="003C2363">
        <w:rPr>
          <w:rFonts w:asciiTheme="minorEastAsia" w:eastAsiaTheme="minorEastAsia" w:hAnsiTheme="minorEastAsia" w:hint="eastAsia"/>
        </w:rPr>
        <w:t xml:space="preserve">Lippincott Williams &amp; Wilkins </w:t>
      </w:r>
      <w:r>
        <w:rPr>
          <w:rFonts w:hint="eastAsia"/>
        </w:rPr>
        <w:t>５タイトル</w:t>
      </w:r>
    </w:p>
    <w:p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3C2363">
        <w:rPr>
          <w:rFonts w:hAnsi="ＭＳ 明朝" w:hint="eastAsia"/>
          <w:spacing w:val="16"/>
          <w:szCs w:val="21"/>
        </w:rPr>
        <w:t>１９</w:t>
      </w:r>
      <w:bookmarkStart w:id="0" w:name="_GoBack"/>
      <w:bookmarkEnd w:id="0"/>
      <w:r w:rsidR="00EC3FC5">
        <w:rPr>
          <w:rFonts w:hAnsi="ＭＳ 明朝" w:hint="eastAsia"/>
          <w:spacing w:val="16"/>
          <w:szCs w:val="21"/>
        </w:rPr>
        <w:t>日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1B" w:rsidRDefault="006A0F1B">
      <w:r>
        <w:separator/>
      </w:r>
    </w:p>
  </w:endnote>
  <w:endnote w:type="continuationSeparator" w:id="0">
    <w:p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1B" w:rsidRDefault="006A0F1B">
      <w:r>
        <w:separator/>
      </w:r>
    </w:p>
  </w:footnote>
  <w:footnote w:type="continuationSeparator" w:id="0">
    <w:p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C23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2021-11-19T05:15:00Z</dcterms:modified>
</cp:coreProperties>
</file>