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7201FF">
        <w:rPr>
          <w:rFonts w:hint="eastAsia"/>
          <w:noProof/>
          <w:u w:val="single"/>
        </w:rPr>
        <w:t>ﾛｼｭ･ﾀﾞｲｱｸﾞﾉｽﾃｨｯｸｽ①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7201FF">
        <w:rPr>
          <w:rFonts w:hint="eastAsia"/>
          <w:noProof/>
          <w:u w:val="single"/>
        </w:rPr>
        <w:t>ﾛｼｭ･ﾀﾞｲｱｸﾞﾉｽﾃｨｯｸｽ①</w:t>
      </w:r>
      <w:bookmarkStart w:id="0" w:name="_GoBack"/>
      <w:bookmarkEnd w:id="0"/>
      <w:r>
        <w:rPr>
          <w:rFonts w:hint="eastAsia"/>
          <w:u w:val="single"/>
        </w:rPr>
        <w:t>）</w:t>
      </w:r>
      <w:r w:rsidRPr="00264F53">
        <w:rPr>
          <w:rFonts w:hint="eastAsia"/>
          <w:u w:val="single"/>
        </w:rPr>
        <w:t xml:space="preserve">　　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1C" w:rsidRDefault="008B6F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6F1C" w:rsidRDefault="008B6F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1C" w:rsidRDefault="008B6F1C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6F1C" w:rsidRDefault="008B6F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01FF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B6F1C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2021-04-06T08:33:00Z</dcterms:modified>
</cp:coreProperties>
</file>