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8D3CBB">
        <w:rPr>
          <w:rFonts w:hint="eastAsia"/>
          <w:noProof/>
          <w:u w:val="single"/>
        </w:rPr>
        <w:t>ｱｼﾞﾚﾝﾄ･ﾃｸﾉﾛｼﾞｰ②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8D3CBB">
        <w:rPr>
          <w:rFonts w:hint="eastAsia"/>
          <w:noProof/>
          <w:u w:val="single"/>
        </w:rPr>
        <w:t>ｱｼﾞﾚﾝﾄ･ﾃｸﾉﾛｼﾞｰ②</w:t>
      </w:r>
      <w:bookmarkStart w:id="0" w:name="_GoBack"/>
      <w:bookmarkEnd w:id="0"/>
      <w:r>
        <w:rPr>
          <w:rFonts w:hint="eastAsia"/>
          <w:u w:val="single"/>
        </w:rPr>
        <w:t>）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C6" w:rsidRDefault="00FD15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15C6" w:rsidRDefault="00FD15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C6" w:rsidRDefault="00FD15C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5C6" w:rsidRDefault="00FD15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D3CBB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15C6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2021-04-06T07:47:00Z</dcterms:modified>
</cp:coreProperties>
</file>